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21" w:rsidRPr="00155088" w:rsidRDefault="002A0721" w:rsidP="002A0721">
      <w:pPr>
        <w:pStyle w:val="NoSpacing"/>
        <w:rPr>
          <w:spacing w:val="121"/>
        </w:rPr>
      </w:pPr>
      <w:r w:rsidRPr="00155088">
        <w:rPr>
          <w:noProof/>
          <w:lang w:eastAsia="nb-NO"/>
        </w:rPr>
        <w:drawing>
          <wp:inline distT="0" distB="0" distL="0" distR="0" wp14:anchorId="5D90613A" wp14:editId="06EED0FB">
            <wp:extent cx="1571625" cy="52364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26" cy="5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55088">
        <w:t xml:space="preserve"> </w:t>
      </w:r>
      <w:r>
        <w:t xml:space="preserve"> </w:t>
      </w:r>
      <w:r w:rsidRPr="00155088">
        <w:rPr>
          <w:noProof/>
          <w:lang w:eastAsia="nb-NO"/>
        </w:rPr>
        <w:drawing>
          <wp:inline distT="0" distB="0" distL="0" distR="0" wp14:anchorId="12D3D7AC" wp14:editId="64059495">
            <wp:extent cx="1889125" cy="36258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55088">
        <w:rPr>
          <w:noProof/>
          <w:spacing w:val="121"/>
          <w:lang w:eastAsia="nb-NO"/>
        </w:rPr>
        <w:drawing>
          <wp:inline distT="0" distB="0" distL="0" distR="0" wp14:anchorId="452213B0" wp14:editId="475A0E92">
            <wp:extent cx="1809750" cy="44257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56" cy="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21" w:rsidRDefault="002A0721" w:rsidP="002A0721"/>
    <w:p w:rsidR="002A0721" w:rsidRDefault="002A0721"/>
    <w:p w:rsidR="002A0721" w:rsidRDefault="002A0721">
      <w:r>
        <w:t xml:space="preserve">Kontroll- og konstitusjonskomiteen </w:t>
      </w:r>
      <w:r>
        <w:br/>
      </w:r>
      <w:r>
        <w:br/>
        <w:t xml:space="preserve">                                                                                                                                         Oslo, </w:t>
      </w:r>
      <w:r w:rsidR="008B0088">
        <w:t>30</w:t>
      </w:r>
      <w:r>
        <w:t xml:space="preserve">.11.2017 </w:t>
      </w:r>
    </w:p>
    <w:p w:rsidR="00A31166" w:rsidRDefault="002A0721" w:rsidP="002A0721">
      <w:pPr>
        <w:pStyle w:val="Heading1"/>
      </w:pPr>
      <w:r>
        <w:br/>
      </w:r>
      <w:r w:rsidR="00A31166">
        <w:t xml:space="preserve">Innspill til komiteens behandling av </w:t>
      </w:r>
      <w:r w:rsidR="00A31166" w:rsidRPr="00A31166">
        <w:t>Dokument 3:10 (2016-2017)</w:t>
      </w:r>
      <w:r w:rsidR="00A31166">
        <w:t xml:space="preserve">: </w:t>
      </w:r>
      <w:r w:rsidR="00A31166" w:rsidRPr="00A31166">
        <w:t>Riksrevisjonens undersøkelse av arkivering og åpenhet i statlig forvaltning</w:t>
      </w:r>
      <w:r>
        <w:t xml:space="preserve">. </w:t>
      </w:r>
    </w:p>
    <w:p w:rsidR="001F7DCB" w:rsidRDefault="00A31166" w:rsidP="00C66BD1">
      <w:r>
        <w:br/>
        <w:t xml:space="preserve">Norsk </w:t>
      </w:r>
      <w:r w:rsidRPr="002A6779">
        <w:t>Presseforbund (NP) er fellesorganet for norske medier i etiske og redaksjonelt faglige spørsmål. Norsk Redaktørforening (NR) er en landsomfattende sammenslutning av redaktører i alle typer medier. Norsk Journalistlag (NJ) er organisasjonen for redaksjonelle medarbeidere, herunder ledere og frilansere som har journalistikk som yrke</w:t>
      </w:r>
      <w:r>
        <w:t xml:space="preserve">. Alle organisasjonene jobber for å sikre og styrke innsynsretten i Norge. </w:t>
      </w:r>
      <w:r w:rsidR="00C66BD1">
        <w:br/>
      </w:r>
      <w:r w:rsidR="00C66BD1">
        <w:br/>
        <w:t xml:space="preserve">På vegne av mediene i Norge </w:t>
      </w:r>
      <w:r w:rsidR="002A0721">
        <w:t>ønsker vi med dette å fremme noen</w:t>
      </w:r>
      <w:r>
        <w:t xml:space="preserve"> innspill til </w:t>
      </w:r>
      <w:r w:rsidRPr="00A31166">
        <w:t>kontroll- og konstitusjonskomiteen</w:t>
      </w:r>
      <w:r>
        <w:t>s behandling av rapporten</w:t>
      </w:r>
      <w:r w:rsidR="002A0721">
        <w:t xml:space="preserve"> fra Riksrevisjonen</w:t>
      </w:r>
      <w:r>
        <w:t xml:space="preserve">. Vi beklager at denne kommer så tett opp til fristen for </w:t>
      </w:r>
      <w:r w:rsidRPr="00A31166">
        <w:t>avgivelse av innstilling</w:t>
      </w:r>
      <w:r w:rsidR="009C18D5">
        <w:t>en</w:t>
      </w:r>
      <w:r>
        <w:t xml:space="preserve">, men </w:t>
      </w:r>
      <w:r w:rsidR="009C18D5">
        <w:t xml:space="preserve">vi </w:t>
      </w:r>
      <w:r w:rsidR="00C66BD1">
        <w:t>ble nettopp gjort kjent med at denne lå til behandling</w:t>
      </w:r>
      <w:r>
        <w:t xml:space="preserve">. Vi håper likevel komiteen tar seg tid til å </w:t>
      </w:r>
      <w:r w:rsidR="00C66BD1">
        <w:t>lese</w:t>
      </w:r>
      <w:r>
        <w:t xml:space="preserve"> våre innspill: </w:t>
      </w:r>
    </w:p>
    <w:p w:rsidR="00CE7485" w:rsidRDefault="00CE7485" w:rsidP="00CE7485">
      <w:r>
        <w:t>Riksrevisjonens funn om arkivering og åpenhet i statlig forvaltning avdekker en praksis som svekker medienes mulighet til å følge med på saker og kontrollere forvaltningens bruk av penger og maktutøvelse. Dette påvirker medienes rolle som public wat</w:t>
      </w:r>
      <w:r w:rsidR="009C18D5">
        <w:t>c</w:t>
      </w:r>
      <w:r>
        <w:t>hdog og svekker demokratiet. En slik praksis er mulig fordi man i dag ikke har effektive midler til å håndheve lov om innsyn (offentlighetslov</w:t>
      </w:r>
      <w:r w:rsidR="0049745B">
        <w:t>a</w:t>
      </w:r>
      <w:r>
        <w:t xml:space="preserve">) og lov om arkivering og journalføring (arkivloven). </w:t>
      </w:r>
      <w:r>
        <w:br/>
      </w:r>
    </w:p>
    <w:p w:rsidR="006C0756" w:rsidRDefault="006C0756" w:rsidP="006C0756">
      <w:bookmarkStart w:id="0" w:name="_GoBack"/>
      <w:bookmarkEnd w:id="0"/>
      <w:r w:rsidRPr="00CE7485">
        <w:rPr>
          <w:b/>
        </w:rPr>
        <w:t>Vi mener det er på høy tid</w:t>
      </w:r>
      <w:r w:rsidR="00CE7485" w:rsidRPr="00CE7485">
        <w:rPr>
          <w:b/>
        </w:rPr>
        <w:t xml:space="preserve"> at man nå innfører sanksjoner for brudd på de lover som skal sikre effektiv gjennomføring av offentlighetsprinsippet i Norge</w:t>
      </w:r>
      <w:r w:rsidR="00CE7485">
        <w:rPr>
          <w:b/>
        </w:rPr>
        <w:t xml:space="preserve"> – altså arkivloven og offentlighetsloven</w:t>
      </w:r>
      <w:r w:rsidR="00CE7485">
        <w:t>.</w:t>
      </w:r>
      <w:r w:rsidR="00D85E21">
        <w:t xml:space="preserve"> Bøter eller tvangsmulkt må vurderes som mulig sanksjonsform for å sikre at lovene etterleves. </w:t>
      </w:r>
      <w:r w:rsidR="00CE7485">
        <w:t xml:space="preserve"> </w:t>
      </w:r>
      <w:r w:rsidR="00CE7485">
        <w:br/>
      </w:r>
      <w:r w:rsidR="00CE7485">
        <w:br/>
        <w:t xml:space="preserve">Se uttalelse fra Pressens offentlighetsutvalg: </w:t>
      </w:r>
      <w:hyperlink r:id="rId8" w:history="1">
        <w:r w:rsidR="00CE7485" w:rsidRPr="00D91A35">
          <w:rPr>
            <w:rStyle w:val="Hyperlink"/>
          </w:rPr>
          <w:t>http://presse.no/dette-mener-np/ulovlig-hemmelighold-ma-sanksjoneres/</w:t>
        </w:r>
      </w:hyperlink>
      <w:r w:rsidRPr="006C0756">
        <w:t xml:space="preserve"> </w:t>
      </w:r>
      <w:r>
        <w:br/>
      </w:r>
      <w:r>
        <w:br/>
      </w:r>
      <w:r w:rsidR="00CE7485">
        <w:t>Kronikk</w:t>
      </w:r>
      <w:r>
        <w:t xml:space="preserve"> i </w:t>
      </w:r>
      <w:r w:rsidR="0049745B">
        <w:t>A</w:t>
      </w:r>
      <w:r>
        <w:t xml:space="preserve">ftenposten: </w:t>
      </w:r>
      <w:r>
        <w:br/>
      </w:r>
      <w:hyperlink r:id="rId9" w:history="1">
        <w:r w:rsidRPr="00D91A35">
          <w:rPr>
            <w:rStyle w:val="Hyperlink"/>
          </w:rPr>
          <w:t>https://www.aftenposten.no/meninger/debatt/i/0RM0o/Vi-utfordrer-statsminister-Erna-Solberg-Ta-ballen-fra-Riksrevisjonen-Rydd-opp--Siri-Gedde-Dahl-og-Elin-Floberghagen</w:t>
        </w:r>
      </w:hyperlink>
    </w:p>
    <w:p w:rsidR="0049745B" w:rsidRDefault="006C0756" w:rsidP="006C0756">
      <w:r>
        <w:br/>
      </w:r>
    </w:p>
    <w:p w:rsidR="006C0756" w:rsidRDefault="00CE7485" w:rsidP="006C0756">
      <w:r>
        <w:lastRenderedPageBreak/>
        <w:t xml:space="preserve">Som begrunnelse for vårt innspill, vil vi særlig vise til følgende tre forhold: </w:t>
      </w:r>
      <w:r w:rsidR="00583E90">
        <w:br/>
      </w:r>
    </w:p>
    <w:p w:rsidR="00CE7485" w:rsidRDefault="006C0756" w:rsidP="00CE7485">
      <w:pPr>
        <w:pStyle w:val="ListParagraph"/>
        <w:numPr>
          <w:ilvl w:val="0"/>
          <w:numId w:val="4"/>
        </w:numPr>
      </w:pPr>
      <w:r w:rsidRPr="00CE7485">
        <w:rPr>
          <w:b/>
        </w:rPr>
        <w:t>Riksrevisjonen avdekket at mange dokumenter ikke var journalført i kontroversielle og viktige saker (se eksempler i punkt 4.3.2 i rapporten).</w:t>
      </w:r>
      <w:r>
        <w:t xml:space="preserve"> Samfunnet går med andre ord glipp av vesentlig informasjon</w:t>
      </w:r>
      <w:r w:rsidR="0096049B">
        <w:t>,</w:t>
      </w:r>
      <w:r>
        <w:t xml:space="preserve"> og regjeringen unndrar seg kritisk søkelys i saker der behovet for dette er ekstra stort. </w:t>
      </w:r>
      <w:r w:rsidR="00CE7485">
        <w:t>Funnene tyder på en kultur der man bevisst bryter loven for å unndra seg innsyn i kontroversielle saker. Dette er også i tråd med hva Pressens offentlighetsutvalg har kommet fram til i denne rapporten</w:t>
      </w:r>
      <w:r w:rsidR="00F06FF9">
        <w:t xml:space="preserve"> (ligger også vedlagt)</w:t>
      </w:r>
      <w:r w:rsidR="00CE7485">
        <w:t xml:space="preserve">: </w:t>
      </w:r>
      <w:hyperlink r:id="rId10" w:history="1">
        <w:r w:rsidR="00CE7485" w:rsidRPr="00D91A35">
          <w:rPr>
            <w:rStyle w:val="Hyperlink"/>
          </w:rPr>
          <w:t>http://presse.no/offentlighet/pressens-offentlighetsutvalg/dugnader-og-undersokelser/rapport-om-hemmelighold-i-forvaltningen/</w:t>
        </w:r>
      </w:hyperlink>
    </w:p>
    <w:p w:rsidR="00CE7485" w:rsidRDefault="00CE7485" w:rsidP="00CE7485">
      <w:pPr>
        <w:pStyle w:val="ListParagraph"/>
      </w:pPr>
      <w:r>
        <w:t xml:space="preserve"> </w:t>
      </w:r>
    </w:p>
    <w:p w:rsidR="00CE7485" w:rsidRDefault="00CE7485" w:rsidP="00CE7485">
      <w:pPr>
        <w:pStyle w:val="ListParagraph"/>
      </w:pPr>
    </w:p>
    <w:p w:rsidR="001F7DCB" w:rsidRDefault="000E24F2" w:rsidP="00CE7485">
      <w:pPr>
        <w:pStyle w:val="ListParagraph"/>
        <w:numPr>
          <w:ilvl w:val="0"/>
          <w:numId w:val="4"/>
        </w:numPr>
      </w:pPr>
      <w:r w:rsidRPr="00CE7485">
        <w:rPr>
          <w:b/>
        </w:rPr>
        <w:t>Riksrevisjonen avdekker et alvorlig misforhold mellom antall dokumenter i arkivet og mengden treff på e-postserver og fellesområdet, og konkluderer med at dette er en indikasjon på at mye av saksbehandlingen disse årene kan ha skjedd utenfor saks- og arkivsystemet</w:t>
      </w:r>
      <w:r w:rsidR="006C0756" w:rsidRPr="00CE7485">
        <w:rPr>
          <w:b/>
        </w:rPr>
        <w:t xml:space="preserve"> (tabell 4 s 64)</w:t>
      </w:r>
      <w:r>
        <w:t xml:space="preserve">. Rapporten avdekker også at flere enkeltdokumenter som skulle vært journalført, ikke var det. </w:t>
      </w:r>
      <w:r w:rsidR="00F0358A">
        <w:t xml:space="preserve">Det er både brudd på offentlighetsloven og arkivloven, og undergraver det grunnlovfestede offentlighetsprinsippet. </w:t>
      </w:r>
      <w:r w:rsidR="00F0358A">
        <w:br/>
      </w:r>
    </w:p>
    <w:p w:rsidR="00BD00E9" w:rsidRDefault="00A31166" w:rsidP="00BD00E9">
      <w:pPr>
        <w:pStyle w:val="ListParagraph"/>
        <w:numPr>
          <w:ilvl w:val="0"/>
          <w:numId w:val="4"/>
        </w:numPr>
      </w:pPr>
      <w:r w:rsidRPr="00CE7485">
        <w:rPr>
          <w:b/>
        </w:rPr>
        <w:t xml:space="preserve">Pressens offentlighetsutvalg </w:t>
      </w:r>
      <w:r w:rsidR="00BD00E9">
        <w:rPr>
          <w:b/>
        </w:rPr>
        <w:t xml:space="preserve">(POU) </w:t>
      </w:r>
      <w:r w:rsidRPr="00CE7485">
        <w:rPr>
          <w:b/>
        </w:rPr>
        <w:t xml:space="preserve">gjennomførte selv </w:t>
      </w:r>
      <w:r w:rsidR="00C66BD1" w:rsidRPr="00CE7485">
        <w:rPr>
          <w:b/>
        </w:rPr>
        <w:t>en undersøkelse om journalføring i januar 2017 som avdekket grove svikt i praksis</w:t>
      </w:r>
      <w:r w:rsidR="00C66BD1">
        <w:t xml:space="preserve">: På det lengste tok det i snitt 39, 4 virkedager å publisere et dokument i OEP (Justis- og beredskapsdepartementet). </w:t>
      </w:r>
      <w:r w:rsidR="00BD00E9">
        <w:t>Riksrevisjonen skriver følgende i sin oppsummering:</w:t>
      </w:r>
      <w:r w:rsidR="00E0187F">
        <w:t xml:space="preserve"> </w:t>
      </w:r>
      <w:r w:rsidR="00BD00E9">
        <w:br/>
      </w:r>
    </w:p>
    <w:p w:rsidR="00BD00E9" w:rsidRDefault="00E0187F" w:rsidP="00BD00E9">
      <w:pPr>
        <w:pStyle w:val="ListParagraph"/>
        <w:ind w:left="1416"/>
      </w:pPr>
      <w:r>
        <w:t>«</w:t>
      </w:r>
      <w:r w:rsidRPr="00BD00E9">
        <w:rPr>
          <w:i/>
        </w:rPr>
        <w:t>Medianen for journalføringstid for alle departementene samlet er tolv dager, og gjennomsnittet er én måned. Det tyder på at det er en del tilfeller av etterregistrering av gamle dokumenter</w:t>
      </w:r>
      <w:r>
        <w:t>».</w:t>
      </w:r>
      <w:r w:rsidR="00BD00E9">
        <w:t xml:space="preserve"> </w:t>
      </w:r>
    </w:p>
    <w:p w:rsidR="00BD00E9" w:rsidRPr="00BD00E9" w:rsidRDefault="00BD00E9" w:rsidP="00BD00E9">
      <w:pPr>
        <w:ind w:left="708"/>
      </w:pPr>
      <w:r>
        <w:t xml:space="preserve">Vi ber videre komiteen merke seg følgende oppsiktsvekkende funn fra Riksrevisjonen som dokumenterer bevisst trenering av journalføring for å hindre offentlig innsyn: </w:t>
      </w:r>
    </w:p>
    <w:p w:rsidR="00BD00E9" w:rsidRDefault="00BD00E9" w:rsidP="00BD00E9">
      <w:pPr>
        <w:ind w:left="1416"/>
        <w:rPr>
          <w:i/>
        </w:rPr>
      </w:pPr>
      <w:r w:rsidRPr="00BD00E9">
        <w:rPr>
          <w:i/>
        </w:rPr>
        <w:t>«Det kan etter Riksrevisjonens vurdering ikke utelukkes at data blir holdt tilbake fra offentlig journal for å bli journalført senere. I denne sammenhengen vises det til et møte mellom Justis- og beredskapsdepartementet og Politidirektoratet i juni 2014 der det ble fastsatt at det skulle etableres rutiner som sikret at det er mulig å kommunisere om aktuelle saker i en innledende fase uten at det blir kjent utad. Det understrekes at det er anledning til å unnta dokumenter fra innsyn selv om de blir registrert på offentlig journal. En rutine om ikke å journalføre dokumenter eller utsette journalføringen for å unngå innsynskrav er i strid med offentlighetslovens formålsparagraf.»</w:t>
      </w:r>
    </w:p>
    <w:p w:rsidR="00BD00E9" w:rsidRPr="00BD00E9" w:rsidRDefault="00BD00E9" w:rsidP="00BD00E9">
      <w:pPr>
        <w:ind w:left="708"/>
        <w:rPr>
          <w:i/>
        </w:rPr>
      </w:pPr>
      <w:r>
        <w:t>Det er derfor svært viktig at</w:t>
      </w:r>
      <w:r w:rsidR="00E0187F">
        <w:t xml:space="preserve"> offentlighetsloven og arkivloven </w:t>
      </w:r>
      <w:r>
        <w:t>ses</w:t>
      </w:r>
      <w:r w:rsidR="00E0187F">
        <w:t xml:space="preserve"> i sammenheng på dette området</w:t>
      </w:r>
      <w:r>
        <w:t>, helst sammen med en plikt til umiddelbar publisering av journalposter.</w:t>
      </w:r>
    </w:p>
    <w:p w:rsidR="00BD00E9" w:rsidRDefault="00C66BD1" w:rsidP="00E0187F">
      <w:pPr>
        <w:ind w:left="360"/>
      </w:pPr>
      <w:r>
        <w:br/>
      </w:r>
    </w:p>
    <w:p w:rsidR="00BD00E9" w:rsidRDefault="00BD00E9" w:rsidP="00E0187F">
      <w:pPr>
        <w:ind w:left="360"/>
      </w:pPr>
    </w:p>
    <w:p w:rsidR="00BD00E9" w:rsidRDefault="00BD00E9" w:rsidP="00E0187F">
      <w:pPr>
        <w:ind w:left="360"/>
      </w:pPr>
    </w:p>
    <w:p w:rsidR="006C0756" w:rsidRDefault="00BD00E9" w:rsidP="00BD00E9">
      <w:r>
        <w:lastRenderedPageBreak/>
        <w:t xml:space="preserve">Mer om POUs undersøkelse: </w:t>
      </w:r>
      <w:r w:rsidR="00C66BD1">
        <w:t>Sen journalføring svekker demokratiet:</w:t>
      </w:r>
      <w:r w:rsidR="00C66BD1" w:rsidRPr="00F65FE0">
        <w:t xml:space="preserve"> </w:t>
      </w:r>
      <w:hyperlink r:id="rId11" w:history="1">
        <w:r w:rsidR="00C66BD1" w:rsidRPr="00D91A35">
          <w:rPr>
            <w:rStyle w:val="Hyperlink"/>
          </w:rPr>
          <w:t>http://presse.no/wp-content/uploads/2015/02/20170111-OEP-POU-uttaler_Sen-journalalf%C3%B8ring.pdf</w:t>
        </w:r>
      </w:hyperlink>
      <w:r w:rsidR="006C0756">
        <w:br/>
      </w:r>
      <w:r w:rsidR="006C0756">
        <w:br/>
      </w:r>
      <w:r w:rsidR="00C66BD1">
        <w:t xml:space="preserve">Hele undersøkelsen finnes vedlagt og ligger her: </w:t>
      </w:r>
      <w:hyperlink r:id="rId12" w:history="1">
        <w:r w:rsidR="006C0756" w:rsidRPr="00D91A35">
          <w:rPr>
            <w:rStyle w:val="Hyperlink"/>
          </w:rPr>
          <w:t>http://presse.no/offentlighet/pressens-offentlighetsutvalg/dugnader-og-undersokelser/rapport-departementenes-smks-journalforing/</w:t>
        </w:r>
      </w:hyperlink>
    </w:p>
    <w:p w:rsidR="00F65FE0" w:rsidRDefault="007338E9" w:rsidP="006C0756">
      <w:pPr>
        <w:pStyle w:val="ListParagraph"/>
      </w:pPr>
      <w:r>
        <w:br/>
      </w:r>
    </w:p>
    <w:p w:rsidR="00583E90" w:rsidRPr="00583E90" w:rsidRDefault="00CE7485" w:rsidP="00583E90">
      <w:r>
        <w:t>Ta gjerne kontakt hvis noen har spørsmål</w:t>
      </w:r>
      <w:r w:rsidR="00583E90">
        <w:t xml:space="preserve">! </w:t>
      </w:r>
      <w:r>
        <w:t xml:space="preserve"> </w:t>
      </w:r>
      <w:r>
        <w:br/>
      </w:r>
      <w:r>
        <w:br/>
      </w:r>
    </w:p>
    <w:p w:rsidR="00583E90" w:rsidRPr="00583E90" w:rsidRDefault="00046F8B" w:rsidP="00583E90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198" w:right="90"/>
        <w:rPr>
          <w:rFonts w:ascii="Times New Roman" w:hAnsi="Times New Roman" w:cs="Times New Roman"/>
        </w:rPr>
      </w:pPr>
      <w:r>
        <w:rPr>
          <w:rFonts w:cstheme="minorHAnsi"/>
        </w:rPr>
        <w:t>Norsk Presseforbund</w:t>
      </w:r>
      <w:r w:rsidR="00583E90" w:rsidRPr="00583E90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      </w:t>
      </w:r>
      <w:r w:rsidR="00583E90" w:rsidRPr="00583E90">
        <w:rPr>
          <w:rFonts w:cstheme="minorHAnsi"/>
        </w:rPr>
        <w:t xml:space="preserve">  Norsk Journalistlag                              Norsk Redaktørforening</w:t>
      </w:r>
    </w:p>
    <w:p w:rsidR="00583E90" w:rsidRPr="00583E90" w:rsidRDefault="00046F8B" w:rsidP="00583E90">
      <w:pPr>
        <w:tabs>
          <w:tab w:val="left" w:pos="3250"/>
          <w:tab w:val="left" w:pos="6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8"/>
        <w:rPr>
          <w:rFonts w:ascii="Times New Roman" w:hAnsi="Times New Roman" w:cs="Times New Roman"/>
          <w:position w:val="2"/>
        </w:rPr>
      </w:pPr>
      <w:r w:rsidRPr="00046F8B">
        <w:rPr>
          <w:rFonts w:ascii="Times New Roman" w:hAnsi="Times New Roman" w:cs="Times New Roman"/>
          <w:noProof/>
          <w:position w:val="1"/>
        </w:rPr>
        <w:drawing>
          <wp:inline distT="0" distB="0" distL="0" distR="0">
            <wp:extent cx="1509606" cy="52387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45255" cy="6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E90" w:rsidRPr="00583E90">
        <w:rPr>
          <w:rFonts w:ascii="Times New Roman" w:hAnsi="Times New Roman" w:cs="Times New Roman"/>
          <w:position w:val="1"/>
        </w:rPr>
        <w:tab/>
      </w:r>
      <w:r>
        <w:rPr>
          <w:rFonts w:ascii="Times New Roman" w:hAnsi="Times New Roman" w:cs="Times New Roman"/>
          <w:position w:val="1"/>
        </w:rPr>
        <w:t xml:space="preserve">        </w:t>
      </w:r>
      <w:r w:rsidR="00583E90" w:rsidRPr="00583E90"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277BADB2" wp14:editId="4EC33B3D">
            <wp:extent cx="1419225" cy="3905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E90" w:rsidRPr="00583E90">
        <w:rPr>
          <w:rFonts w:ascii="Times New Roman" w:hAnsi="Times New Roman" w:cs="Times New Roman"/>
        </w:rPr>
        <w:t xml:space="preserve"> </w:t>
      </w:r>
      <w:r w:rsidR="00583E90" w:rsidRPr="00583E90">
        <w:rPr>
          <w:rFonts w:ascii="Times New Roman" w:hAnsi="Times New Roman" w:cs="Times New Roman"/>
        </w:rPr>
        <w:tab/>
      </w:r>
      <w:r w:rsidR="00583E90" w:rsidRPr="00583E90">
        <w:rPr>
          <w:rFonts w:ascii="Times New Roman" w:hAnsi="Times New Roman" w:cs="Times New Roman"/>
          <w:noProof/>
          <w:position w:val="2"/>
          <w:lang w:eastAsia="nb-NO"/>
        </w:rPr>
        <w:drawing>
          <wp:inline distT="0" distB="0" distL="0" distR="0" wp14:anchorId="32C46821" wp14:editId="33DB9314">
            <wp:extent cx="1057275" cy="590550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3449"/>
        <w:gridCol w:w="2524"/>
      </w:tblGrid>
      <w:tr w:rsidR="00583E90" w:rsidRPr="00583E90" w:rsidTr="002667FE">
        <w:trPr>
          <w:trHeight w:hRule="exact" w:val="36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90" w:rsidRPr="00583E90" w:rsidRDefault="00046F8B" w:rsidP="00583E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Siri Gedde-Dahl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90" w:rsidRPr="00583E90" w:rsidRDefault="00046F8B" w:rsidP="00583E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5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</w:t>
            </w:r>
            <w:r w:rsidR="00583E90" w:rsidRPr="00583E90">
              <w:rPr>
                <w:rFonts w:cstheme="minorHAnsi"/>
                <w:lang w:val="en-US"/>
              </w:rPr>
              <w:t>Ina Lindahl Nyrud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90" w:rsidRPr="00583E90" w:rsidRDefault="00046F8B" w:rsidP="00583E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95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</w:t>
            </w:r>
            <w:r w:rsidR="00583E90" w:rsidRPr="00583E90">
              <w:rPr>
                <w:rFonts w:cstheme="minorHAnsi"/>
                <w:lang w:val="en-US"/>
              </w:rPr>
              <w:t>Arne Jensen</w:t>
            </w:r>
          </w:p>
        </w:tc>
      </w:tr>
      <w:tr w:rsidR="00583E90" w:rsidRPr="00583E90" w:rsidTr="002667FE">
        <w:trPr>
          <w:trHeight w:hRule="exact" w:val="36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90" w:rsidRPr="00583E90" w:rsidRDefault="00046F8B" w:rsidP="00583E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iCs/>
                <w:lang w:val="en-US"/>
              </w:rPr>
              <w:t>leder</w:t>
            </w:r>
            <w:proofErr w:type="spellEnd"/>
            <w:r>
              <w:rPr>
                <w:rFonts w:cstheme="minorHAnsi"/>
                <w:iCs/>
                <w:lang w:val="en-US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90" w:rsidRPr="00583E90" w:rsidRDefault="00046F8B" w:rsidP="00583E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59"/>
              <w:rPr>
                <w:rFonts w:cstheme="minorHAnsi"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 xml:space="preserve">         </w:t>
            </w:r>
            <w:proofErr w:type="spellStart"/>
            <w:r w:rsidR="00583E90" w:rsidRPr="00583E90">
              <w:rPr>
                <w:rFonts w:cstheme="minorHAnsi"/>
                <w:iCs/>
                <w:lang w:val="en-US"/>
              </w:rPr>
              <w:t>advokat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90" w:rsidRPr="00583E90" w:rsidRDefault="00046F8B" w:rsidP="00583E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71"/>
              <w:rPr>
                <w:rFonts w:cstheme="minorHAnsi"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 xml:space="preserve">   </w:t>
            </w:r>
            <w:proofErr w:type="spellStart"/>
            <w:r w:rsidR="00583E90" w:rsidRPr="00583E90">
              <w:rPr>
                <w:rFonts w:cstheme="minorHAnsi"/>
                <w:iCs/>
                <w:lang w:val="en-US"/>
              </w:rPr>
              <w:t>generalsekretær</w:t>
            </w:r>
            <w:proofErr w:type="spellEnd"/>
          </w:p>
        </w:tc>
      </w:tr>
    </w:tbl>
    <w:p w:rsidR="00583E90" w:rsidRPr="00583E90" w:rsidRDefault="00046F8B" w:rsidP="00583E90">
      <w:pPr>
        <w:spacing w:after="0" w:line="276" w:lineRule="auto"/>
      </w:pPr>
      <w:r>
        <w:t xml:space="preserve">   Pressens offentlighetsutvalg</w:t>
      </w:r>
    </w:p>
    <w:p w:rsidR="00583E90" w:rsidRPr="00583E90" w:rsidRDefault="00583E90" w:rsidP="00583E9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33333"/>
          <w:lang w:eastAsia="nb-NO"/>
        </w:rPr>
      </w:pPr>
    </w:p>
    <w:p w:rsidR="00CE7485" w:rsidRDefault="00CE7485" w:rsidP="006C0756">
      <w:pPr>
        <w:pStyle w:val="ListParagraph"/>
      </w:pPr>
    </w:p>
    <w:sectPr w:rsidR="00CE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5A8"/>
    <w:multiLevelType w:val="hybridMultilevel"/>
    <w:tmpl w:val="DAC45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2E12"/>
    <w:multiLevelType w:val="hybridMultilevel"/>
    <w:tmpl w:val="6E400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A99"/>
    <w:multiLevelType w:val="hybridMultilevel"/>
    <w:tmpl w:val="87183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50B2"/>
    <w:multiLevelType w:val="hybridMultilevel"/>
    <w:tmpl w:val="240EA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88"/>
    <w:rsid w:val="00046F8B"/>
    <w:rsid w:val="000E24F2"/>
    <w:rsid w:val="00132FCA"/>
    <w:rsid w:val="001F7DCB"/>
    <w:rsid w:val="002A0721"/>
    <w:rsid w:val="00351171"/>
    <w:rsid w:val="003F15A0"/>
    <w:rsid w:val="0049745B"/>
    <w:rsid w:val="00583E90"/>
    <w:rsid w:val="006C0756"/>
    <w:rsid w:val="007338E9"/>
    <w:rsid w:val="007B4C88"/>
    <w:rsid w:val="007D1693"/>
    <w:rsid w:val="008B0088"/>
    <w:rsid w:val="0096049B"/>
    <w:rsid w:val="009C18D5"/>
    <w:rsid w:val="00A31166"/>
    <w:rsid w:val="00AC7428"/>
    <w:rsid w:val="00BD00E9"/>
    <w:rsid w:val="00C66BD1"/>
    <w:rsid w:val="00C93F64"/>
    <w:rsid w:val="00CE7485"/>
    <w:rsid w:val="00D85E21"/>
    <w:rsid w:val="00D91BF8"/>
    <w:rsid w:val="00E0187F"/>
    <w:rsid w:val="00F0358A"/>
    <w:rsid w:val="00F06FF9"/>
    <w:rsid w:val="00F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66CE-69E8-479D-BDDA-B7D9C86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F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6BD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A07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0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2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e.no/dette-mener-np/ulovlig-hemmelighold-ma-sanksjoneres/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presse.no/offentlighet/pressens-offentlighetsutvalg/dugnader-og-undersokelser/rapport-departementenes-smks-journalfor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resse.no/wp-content/uploads/2015/02/20170111-OEP-POU-uttaler_Sen-journalalf%C3%B8ring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presse.no/offentlighet/pressens-offentlighetsutvalg/dugnader-og-undersokelser/rapport-om-hemmelighold-i-forvaltni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tenposten.no/meninger/debatt/i/0RM0o/Vi-utfordrer-statsminister-Erna-Solberg-Ta-ballen-fra-Riksrevisjonen-Rydd-opp--Siri-Gedde-Dahl-og-Elin-Floberghage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5267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Foss</dc:creator>
  <cp:keywords/>
  <dc:description/>
  <cp:lastModifiedBy>Arne Jensen</cp:lastModifiedBy>
  <cp:revision>2</cp:revision>
  <dcterms:created xsi:type="dcterms:W3CDTF">2017-11-30T09:58:00Z</dcterms:created>
  <dcterms:modified xsi:type="dcterms:W3CDTF">2017-11-30T09:58:00Z</dcterms:modified>
</cp:coreProperties>
</file>